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7AF7" w:rsidRPr="009E06F6" w:rsidRDefault="00687AF7" w:rsidP="00687AF7">
      <w:pPr>
        <w:rPr>
          <w:rFonts w:ascii="Arial" w:hAnsi="Arial" w:cs="Arial"/>
          <w:b/>
          <w:sz w:val="24"/>
          <w:szCs w:val="24"/>
        </w:rPr>
      </w:pPr>
      <w:proofErr w:type="spellStart"/>
      <w:r w:rsidRPr="009E06F6">
        <w:rPr>
          <w:rFonts w:ascii="Arial" w:hAnsi="Arial" w:cs="Arial"/>
          <w:b/>
          <w:sz w:val="24"/>
          <w:szCs w:val="24"/>
        </w:rPr>
        <w:t>Worksong</w:t>
      </w:r>
      <w:proofErr w:type="spellEnd"/>
    </w:p>
    <w:p w:rsidR="00687AF7" w:rsidRPr="00E72707" w:rsidRDefault="00072AA7" w:rsidP="00687AF7">
      <w:pPr>
        <w:pStyle w:val="StandardWeb"/>
        <w:rPr>
          <w:rFonts w:ascii="Arial" w:hAnsi="Arial" w:cs="Arial"/>
          <w:sz w:val="22"/>
          <w:szCs w:val="22"/>
        </w:rPr>
      </w:pPr>
      <w:r w:rsidRPr="00072AA7">
        <w:rPr>
          <w:rFonts w:ascii="Arial" w:hAnsi="Arial" w:cs="Arial"/>
          <w:noProof/>
          <w:lang w:val="en-US" w:eastAsia="en-US"/>
        </w:rPr>
        <mc:AlternateContent>
          <mc:Choice Requires="wps">
            <w:drawing>
              <wp:anchor distT="0" distB="0" distL="114300" distR="114300" simplePos="0" relativeHeight="251659264" behindDoc="0" locked="0" layoutInCell="1" allowOverlap="1" wp14:anchorId="52D1848E" wp14:editId="4AD72F0D">
                <wp:simplePos x="0" y="0"/>
                <wp:positionH relativeFrom="column">
                  <wp:posOffset>3559810</wp:posOffset>
                </wp:positionH>
                <wp:positionV relativeFrom="paragraph">
                  <wp:posOffset>996950</wp:posOffset>
                </wp:positionV>
                <wp:extent cx="2374265" cy="1403985"/>
                <wp:effectExtent l="0" t="0" r="28575" b="1397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072AA7" w:rsidRDefault="00072AA7">
                            <w:r>
                              <w:rPr>
                                <w:rFonts w:ascii="Arial" w:hAnsi="Arial" w:cs="Arial"/>
                                <w:noProof/>
                                <w:lang w:val="en-US"/>
                              </w:rPr>
                              <w:drawing>
                                <wp:inline distT="0" distB="0" distL="0" distR="0" wp14:anchorId="30425498" wp14:editId="7BB4208F">
                                  <wp:extent cx="2252980" cy="167684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52980" cy="1676845"/>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80.3pt;margin-top:78.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">
                <v:textbox style="mso-fit-shape-to-text:t">
                  <w:txbxContent>
                    <w:p w:rsidR="00072AA7" w:rsidRDefault="00072AA7">
                      <w:r>
                        <w:rPr>
                          <w:rFonts w:ascii="Arial" w:hAnsi="Arial" w:cs="Arial"/>
                          <w:noProof/>
                          <w:lang w:val="de-DE" w:eastAsia="de-DE"/>
                        </w:rPr>
                        <w:drawing>
                          <wp:inline distT="0" distB="0" distL="0" distR="0" wp14:anchorId="30425498" wp14:editId="7BB4208F">
                            <wp:extent cx="2252980" cy="167684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52980" cy="1676845"/>
                                    </a:xfrm>
                                    <a:prstGeom prst="rect">
                                      <a:avLst/>
                                    </a:prstGeom>
                                    <a:noFill/>
                                    <a:ln>
                                      <a:noFill/>
                                    </a:ln>
                                  </pic:spPr>
                                </pic:pic>
                              </a:graphicData>
                            </a:graphic>
                          </wp:inline>
                        </w:drawing>
                      </w:r>
                    </w:p>
                  </w:txbxContent>
                </v:textbox>
              </v:shape>
            </w:pict>
          </mc:Fallback>
        </mc:AlternateContent>
      </w:r>
      <w:r w:rsidR="00687AF7" w:rsidRPr="00E72707">
        <w:rPr>
          <w:rFonts w:ascii="Arial" w:hAnsi="Arial" w:cs="Arial"/>
          <w:sz w:val="22"/>
          <w:szCs w:val="22"/>
        </w:rPr>
        <w:t>Der Eisenbahnbau war für die wirtschaftliche Entwicklung der USA sehr wichtig. In der 2. Hälfte des 19. Jahrhunderts wurde das gesamte Land erschlossen. Die schwarzen Arbeiter, die die Gleise für die Bahn bauten, sangen während ihrer Arbeit, um die Schläge mit den Hämmern zu koordinieren. „</w:t>
      </w:r>
      <w:proofErr w:type="spellStart"/>
      <w:r w:rsidR="00687AF7" w:rsidRPr="00E72707">
        <w:rPr>
          <w:rFonts w:ascii="Arial" w:hAnsi="Arial" w:cs="Arial"/>
          <w:sz w:val="22"/>
          <w:szCs w:val="22"/>
        </w:rPr>
        <w:t>HammerRing</w:t>
      </w:r>
      <w:proofErr w:type="spellEnd"/>
      <w:r w:rsidR="00687AF7" w:rsidRPr="00E72707">
        <w:rPr>
          <w:rFonts w:ascii="Arial" w:hAnsi="Arial" w:cs="Arial"/>
          <w:sz w:val="22"/>
          <w:szCs w:val="22"/>
        </w:rPr>
        <w:t xml:space="preserve">“ ist ein solches Lied. Der Vorsänger improvisiert in einer Art von Sprechgesang eine Geschichte mit Figuren aus dem Alten Testament. Dieser Sprechgesang ist einer der Vorläufer des heutigen </w:t>
      </w:r>
      <w:proofErr w:type="gramStart"/>
      <w:r w:rsidR="00687AF7" w:rsidRPr="00E72707">
        <w:rPr>
          <w:rFonts w:ascii="Arial" w:hAnsi="Arial" w:cs="Arial"/>
          <w:sz w:val="22"/>
          <w:szCs w:val="22"/>
        </w:rPr>
        <w:t>Hip-Hop</w:t>
      </w:r>
      <w:proofErr w:type="gramEnd"/>
    </w:p>
    <w:p w:rsidR="00687AF7" w:rsidRPr="00E72707" w:rsidRDefault="00072AA7" w:rsidP="00687AF7">
      <w:pPr>
        <w:pStyle w:val="StandardWeb"/>
        <w:rPr>
          <w:rFonts w:ascii="Arial" w:hAnsi="Arial" w:cs="Arial"/>
          <w:lang w:val="de-DE"/>
        </w:rPr>
      </w:pPr>
      <w:r w:rsidRPr="00072AA7">
        <w:rPr>
          <w:rFonts w:ascii="Arial" w:hAnsi="Arial" w:cs="Arial"/>
          <w:noProof/>
          <w:lang w:val="en-US" w:eastAsia="en-US"/>
        </w:rPr>
        <mc:AlternateContent>
          <mc:Choice Requires="wps">
            <w:drawing>
              <wp:anchor distT="0" distB="0" distL="114300" distR="114300" simplePos="0" relativeHeight="251661312" behindDoc="0" locked="0" layoutInCell="1" allowOverlap="1" wp14:editId="36B11C9B">
                <wp:simplePos x="0" y="0"/>
                <wp:positionH relativeFrom="column">
                  <wp:posOffset>3232785</wp:posOffset>
                </wp:positionH>
                <wp:positionV relativeFrom="paragraph">
                  <wp:posOffset>1435736</wp:posOffset>
                </wp:positionV>
                <wp:extent cx="2676525" cy="1066800"/>
                <wp:effectExtent l="0" t="0" r="28575" b="19050"/>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1066800"/>
                        </a:xfrm>
                        <a:prstGeom prst="rect">
                          <a:avLst/>
                        </a:prstGeom>
                        <a:solidFill>
                          <a:srgbClr val="FFFFFF"/>
                        </a:solidFill>
                        <a:ln w="9525">
                          <a:solidFill>
                            <a:srgbClr val="000000"/>
                          </a:solidFill>
                          <a:miter lim="800000"/>
                          <a:headEnd/>
                          <a:tailEnd/>
                        </a:ln>
                      </wps:spPr>
                      <wps:txbx>
                        <w:txbxContent>
                          <w:p w:rsidR="00072AA7" w:rsidRPr="00072AA7" w:rsidRDefault="00072AA7" w:rsidP="00072AA7">
                            <w:pPr>
                              <w:autoSpaceDE w:val="0"/>
                              <w:autoSpaceDN w:val="0"/>
                              <w:adjustRightInd w:val="0"/>
                              <w:spacing w:after="0" w:line="240" w:lineRule="auto"/>
                              <w:rPr>
                                <w:rFonts w:ascii="Arial" w:hAnsi="Arial" w:cs="Arial"/>
                                <w:color w:val="231F20"/>
                                <w:lang w:val="de-DE"/>
                              </w:rPr>
                            </w:pPr>
                            <w:r w:rsidRPr="00072AA7">
                              <w:rPr>
                                <w:rFonts w:ascii="Arial" w:hAnsi="Arial" w:cs="Arial"/>
                                <w:color w:val="231F20"/>
                                <w:lang w:val="de-DE"/>
                              </w:rPr>
                              <w:t xml:space="preserve">Eines </w:t>
                            </w:r>
                            <w:proofErr w:type="gramStart"/>
                            <w:r w:rsidRPr="00072AA7">
                              <w:rPr>
                                <w:rFonts w:ascii="Arial" w:hAnsi="Arial" w:cs="Arial"/>
                                <w:color w:val="231F20"/>
                                <w:lang w:val="de-DE"/>
                              </w:rPr>
                              <w:t>der typischsten Instrument</w:t>
                            </w:r>
                            <w:proofErr w:type="gramEnd"/>
                            <w:r w:rsidRPr="00072AA7">
                              <w:rPr>
                                <w:rFonts w:ascii="Arial" w:hAnsi="Arial" w:cs="Arial"/>
                                <w:color w:val="231F20"/>
                                <w:lang w:val="de-DE"/>
                              </w:rPr>
                              <w:t xml:space="preserve"> im Blues ist die Gitarre. Die Musizierweise war wesentlich vom Gesang bestimmt und auch das Instrument sollte möglichst flexibel auf diese stimmlichen Effekte eingehen können.</w:t>
                            </w:r>
                          </w:p>
                          <w:p w:rsidR="00072AA7" w:rsidRPr="00072AA7" w:rsidRDefault="00072AA7">
                            <w:pPr>
                              <w:rPr>
                                <w:lang w:val="de-D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54.55pt;margin-top:113.05pt;width:210.75pt;height: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">
                <v:textbox>
                  <w:txbxContent>
                    <w:p w:rsidR="00072AA7" w:rsidRPr="00072AA7" w:rsidRDefault="00072AA7" w:rsidP="00072AA7">
                      <w:pPr>
                        <w:autoSpaceDE w:val="0"/>
                        <w:autoSpaceDN w:val="0"/>
                        <w:adjustRightInd w:val="0"/>
                        <w:spacing w:after="0" w:line="240" w:lineRule="auto"/>
                        <w:rPr>
                          <w:rFonts w:ascii="Arial" w:hAnsi="Arial" w:cs="Arial"/>
                          <w:color w:val="231F20"/>
                          <w:lang w:val="de-DE"/>
                        </w:rPr>
                      </w:pPr>
                      <w:r w:rsidRPr="00072AA7">
                        <w:rPr>
                          <w:rFonts w:ascii="Arial" w:hAnsi="Arial" w:cs="Arial"/>
                          <w:color w:val="231F20"/>
                          <w:lang w:val="de-DE"/>
                        </w:rPr>
                        <w:t>Eines der typischsten Instrument im Blues ist die Gitarre. Die Musizierweise war wesentlich vom Gesang bestimmt und auch das Instrument sollte möglichst flexibel auf diese stimmlichen Effekte eingehen können.</w:t>
                      </w:r>
                    </w:p>
                    <w:p w:rsidR="00072AA7" w:rsidRPr="00072AA7" w:rsidRDefault="00072AA7">
                      <w:pPr>
                        <w:rPr>
                          <w:lang w:val="de-DE"/>
                        </w:rPr>
                      </w:pPr>
                    </w:p>
                  </w:txbxContent>
                </v:textbox>
              </v:shape>
            </w:pict>
          </mc:Fallback>
        </mc:AlternateContent>
      </w:r>
      <w:r w:rsidR="00687AF7">
        <w:rPr>
          <w:rFonts w:ascii="Arial" w:hAnsi="Arial" w:cs="Arial"/>
          <w:noProof/>
          <w:lang w:val="en-US" w:eastAsia="en-US"/>
        </w:rPr>
        <w:drawing>
          <wp:inline distT="0" distB="0" distL="0" distR="0" wp14:anchorId="09DEE339" wp14:editId="46BFC6B7">
            <wp:extent cx="2724150" cy="244792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36175" cy="2458731"/>
                    </a:xfrm>
                    <a:prstGeom prst="rect">
                      <a:avLst/>
                    </a:prstGeom>
                    <a:noFill/>
                    <a:ln>
                      <a:noFill/>
                    </a:ln>
                  </pic:spPr>
                </pic:pic>
              </a:graphicData>
            </a:graphic>
          </wp:inline>
        </w:drawing>
      </w:r>
      <w:r w:rsidR="00E72707" w:rsidRPr="00E72707">
        <w:rPr>
          <w:rFonts w:ascii="Arial" w:hAnsi="Arial" w:cs="Arial"/>
        </w:rPr>
        <w:t xml:space="preserve"> </w:t>
      </w:r>
    </w:p>
    <w:p w:rsidR="00F37D22" w:rsidRPr="00072AA7" w:rsidRDefault="00F37D22" w:rsidP="00F37D22">
      <w:pPr>
        <w:autoSpaceDE w:val="0"/>
        <w:autoSpaceDN w:val="0"/>
        <w:adjustRightInd w:val="0"/>
        <w:spacing w:after="0" w:line="240" w:lineRule="auto"/>
        <w:rPr>
          <w:rFonts w:ascii="Arial" w:hAnsi="Arial" w:cs="Arial"/>
          <w:color w:val="231F20"/>
          <w:lang w:val="de-DE"/>
        </w:rPr>
      </w:pPr>
      <w:r w:rsidRPr="00072AA7">
        <w:rPr>
          <w:rFonts w:ascii="Arial" w:hAnsi="Arial" w:cs="Arial"/>
          <w:color w:val="231F20"/>
          <w:lang w:val="de-DE"/>
        </w:rPr>
        <w:t>Eine Spielweise wurde beispielsweise durch den Gebrauch eines Messers bewirkt, dessen Klinge über die Seiten geschoben wurde und auf dem Instrument jammernde Töne produzierte, die den Schreien eines Menschen nicht unähnlich klangen. Ein weiteres charakteristisches Instrument des Blues ist die Mundharmonika und die Trommel.</w:t>
      </w:r>
    </w:p>
    <w:p w:rsidR="00F37D22" w:rsidRPr="00072AA7" w:rsidRDefault="00F37D22" w:rsidP="00F37D22">
      <w:pPr>
        <w:autoSpaceDE w:val="0"/>
        <w:autoSpaceDN w:val="0"/>
        <w:adjustRightInd w:val="0"/>
        <w:spacing w:after="0" w:line="240" w:lineRule="auto"/>
        <w:rPr>
          <w:rFonts w:ascii="Arial" w:hAnsi="Arial" w:cs="Arial"/>
          <w:color w:val="231F20"/>
          <w:lang w:val="de-DE"/>
        </w:rPr>
      </w:pPr>
    </w:p>
    <w:p w:rsidR="00F37D22" w:rsidRDefault="00E40705" w:rsidP="00F37D22">
      <w:pPr>
        <w:pStyle w:val="StandardWeb"/>
        <w:spacing w:before="0" w:beforeAutospacing="0" w:after="0" w:afterAutospacing="0"/>
        <w:rPr>
          <w:rFonts w:ascii="Arial" w:hAnsi="Arial" w:cs="Arial"/>
          <w:b/>
          <w:lang w:val="de-DE"/>
        </w:rPr>
      </w:pPr>
      <w:r w:rsidRPr="009E06F6">
        <w:rPr>
          <w:rFonts w:ascii="Arial" w:hAnsi="Arial" w:cs="Arial"/>
          <w:b/>
          <w:lang w:val="de-DE"/>
        </w:rPr>
        <w:t>Spiritual/Gospel</w:t>
      </w:r>
      <w:r w:rsidR="00072AA7">
        <w:rPr>
          <w:rFonts w:ascii="Arial" w:hAnsi="Arial" w:cs="Arial"/>
          <w:b/>
          <w:lang w:val="de-DE"/>
        </w:rPr>
        <w:tab/>
      </w:r>
      <w:r w:rsidR="00072AA7">
        <w:rPr>
          <w:rFonts w:ascii="Arial" w:hAnsi="Arial" w:cs="Arial"/>
          <w:b/>
          <w:lang w:val="de-DE"/>
        </w:rPr>
        <w:tab/>
      </w:r>
      <w:r w:rsidR="00F37D22">
        <w:rPr>
          <w:rFonts w:ascii="Arial" w:hAnsi="Arial" w:cs="Arial"/>
          <w:b/>
          <w:lang w:val="de-DE"/>
        </w:rPr>
        <w:t xml:space="preserve">Call </w:t>
      </w:r>
      <w:proofErr w:type="spellStart"/>
      <w:r w:rsidR="00F37D22">
        <w:rPr>
          <w:rFonts w:ascii="Arial" w:hAnsi="Arial" w:cs="Arial"/>
          <w:b/>
          <w:lang w:val="de-DE"/>
        </w:rPr>
        <w:t>and</w:t>
      </w:r>
      <w:proofErr w:type="spellEnd"/>
      <w:r w:rsidR="00F37D22">
        <w:rPr>
          <w:rFonts w:ascii="Arial" w:hAnsi="Arial" w:cs="Arial"/>
          <w:b/>
          <w:lang w:val="de-DE"/>
        </w:rPr>
        <w:t xml:space="preserve"> Response</w:t>
      </w:r>
    </w:p>
    <w:p w:rsidR="00F37D22" w:rsidRPr="009E06F6" w:rsidRDefault="00F37D22" w:rsidP="00F37D22">
      <w:pPr>
        <w:pStyle w:val="StandardWeb"/>
        <w:spacing w:before="0" w:beforeAutospacing="0" w:after="0" w:afterAutospacing="0"/>
        <w:rPr>
          <w:rFonts w:ascii="Arial" w:hAnsi="Arial" w:cs="Arial"/>
          <w:b/>
          <w:lang w:val="de-DE"/>
        </w:rPr>
      </w:pPr>
    </w:p>
    <w:p w:rsidR="00072AA7" w:rsidRDefault="00E40705" w:rsidP="00F37D22">
      <w:pPr>
        <w:autoSpaceDE w:val="0"/>
        <w:autoSpaceDN w:val="0"/>
        <w:adjustRightInd w:val="0"/>
        <w:spacing w:after="0" w:line="240" w:lineRule="auto"/>
        <w:rPr>
          <w:rFonts w:ascii="Arial" w:hAnsi="Arial" w:cs="Arial"/>
          <w:color w:val="231F20"/>
          <w:lang w:val="de-DE"/>
        </w:rPr>
      </w:pPr>
      <w:r w:rsidRPr="00072AA7">
        <w:rPr>
          <w:rFonts w:ascii="Arial" w:hAnsi="Arial" w:cs="Arial"/>
          <w:lang w:val="de-DE"/>
        </w:rPr>
        <w:t>Fast alle Sklaven in den USA wurden zur christlichen Religion bekehrt. Durch Begegnung mit den christlichen Chorälen (=Kirchenliedern) entstanden neue Lieder, die starke Elemente west</w:t>
      </w:r>
      <w:r w:rsidR="00072AA7" w:rsidRPr="00072AA7">
        <w:rPr>
          <w:rFonts w:ascii="Arial" w:hAnsi="Arial" w:cs="Arial"/>
          <w:lang w:val="de-DE"/>
        </w:rPr>
        <w:t>-</w:t>
      </w:r>
      <w:r w:rsidRPr="00072AA7">
        <w:rPr>
          <w:rFonts w:ascii="Arial" w:hAnsi="Arial" w:cs="Arial"/>
          <w:lang w:val="de-DE"/>
        </w:rPr>
        <w:t xml:space="preserve">afrikanischer Musik beinhalteten, die Spirituals. Diese wurden zuerst </w:t>
      </w:r>
      <w:proofErr w:type="spellStart"/>
      <w:r w:rsidRPr="00072AA7">
        <w:rPr>
          <w:rFonts w:ascii="Arial" w:hAnsi="Arial" w:cs="Arial"/>
          <w:lang w:val="de-DE"/>
        </w:rPr>
        <w:t>ausserhalb</w:t>
      </w:r>
      <w:proofErr w:type="spellEnd"/>
      <w:r w:rsidRPr="00072AA7">
        <w:rPr>
          <w:rFonts w:ascii="Arial" w:hAnsi="Arial" w:cs="Arial"/>
          <w:lang w:val="de-DE"/>
        </w:rPr>
        <w:t xml:space="preserve"> der Kirche g</w:t>
      </w:r>
      <w:r w:rsidR="00072AA7" w:rsidRPr="00072AA7">
        <w:rPr>
          <w:rFonts w:ascii="Arial" w:hAnsi="Arial" w:cs="Arial"/>
          <w:lang w:val="de-DE"/>
        </w:rPr>
        <w:t>e</w:t>
      </w:r>
      <w:r w:rsidRPr="00072AA7">
        <w:rPr>
          <w:rFonts w:ascii="Arial" w:hAnsi="Arial" w:cs="Arial"/>
          <w:lang w:val="de-DE"/>
        </w:rPr>
        <w:t xml:space="preserve">sungen und kamen als Gospel (=engl. Evangelium) in den christlichen Gottesdienst.  Gospel ist die Weiterführung der Spirituals. Die Musik wird intensiver und ekstatischer. Ein Vorsänger „heizt“ der Gemeinde ein, welche </w:t>
      </w:r>
      <w:r w:rsidR="00072AA7" w:rsidRPr="00072AA7">
        <w:rPr>
          <w:rFonts w:ascii="Arial" w:hAnsi="Arial" w:cs="Arial"/>
          <w:lang w:val="de-DE"/>
        </w:rPr>
        <w:t xml:space="preserve">im Chor </w:t>
      </w:r>
      <w:r w:rsidRPr="00072AA7">
        <w:rPr>
          <w:rFonts w:ascii="Arial" w:hAnsi="Arial" w:cs="Arial"/>
          <w:lang w:val="de-DE"/>
        </w:rPr>
        <w:t xml:space="preserve">immer lauter nachsingt. (Wechselgesang = Call </w:t>
      </w:r>
      <w:proofErr w:type="spellStart"/>
      <w:r w:rsidRPr="00072AA7">
        <w:rPr>
          <w:rFonts w:ascii="Arial" w:hAnsi="Arial" w:cs="Arial"/>
          <w:lang w:val="de-DE"/>
        </w:rPr>
        <w:t>and</w:t>
      </w:r>
      <w:proofErr w:type="spellEnd"/>
      <w:r w:rsidRPr="00072AA7">
        <w:rPr>
          <w:rFonts w:ascii="Arial" w:hAnsi="Arial" w:cs="Arial"/>
          <w:lang w:val="de-DE"/>
        </w:rPr>
        <w:t xml:space="preserve"> Response</w:t>
      </w:r>
      <w:r w:rsidR="00072AA7" w:rsidRPr="00072AA7">
        <w:rPr>
          <w:rFonts w:ascii="Arial" w:hAnsi="Arial" w:cs="Arial"/>
          <w:lang w:val="de-DE"/>
        </w:rPr>
        <w:t xml:space="preserve"> = Ruf und Antwort</w:t>
      </w:r>
      <w:r w:rsidRPr="00072AA7">
        <w:rPr>
          <w:rFonts w:ascii="Arial" w:hAnsi="Arial" w:cs="Arial"/>
          <w:lang w:val="de-DE"/>
        </w:rPr>
        <w:t>).</w:t>
      </w:r>
      <w:r w:rsidR="00F37D22" w:rsidRPr="00072AA7">
        <w:rPr>
          <w:rFonts w:ascii="Arial" w:hAnsi="Arial" w:cs="Arial"/>
          <w:color w:val="231F20"/>
          <w:lang w:val="de-DE"/>
        </w:rPr>
        <w:t xml:space="preserve"> </w:t>
      </w:r>
      <w:r w:rsidR="00072AA7" w:rsidRPr="00072AA7">
        <w:rPr>
          <w:rFonts w:ascii="Arial" w:hAnsi="Arial" w:cs="Arial"/>
          <w:color w:val="231F20"/>
          <w:lang w:val="de-DE"/>
        </w:rPr>
        <w:t>Durch das gegenseitige Abwechseln von Vorsänger und Chor entsteht ein musikalischer Dialog.</w:t>
      </w:r>
      <w:r w:rsidR="00072AA7">
        <w:rPr>
          <w:rFonts w:ascii="Arial" w:hAnsi="Arial" w:cs="Arial"/>
          <w:color w:val="231F20"/>
          <w:lang w:val="de-DE"/>
        </w:rPr>
        <w:t xml:space="preserve"> </w:t>
      </w:r>
      <w:r w:rsidR="00072AA7" w:rsidRPr="00072AA7">
        <w:rPr>
          <w:rFonts w:ascii="Arial" w:hAnsi="Arial" w:cs="Arial"/>
          <w:color w:val="231F20"/>
          <w:lang w:val="de-DE"/>
        </w:rPr>
        <w:t xml:space="preserve">Dieses </w:t>
      </w:r>
      <w:r w:rsidR="00F37D22" w:rsidRPr="00072AA7">
        <w:rPr>
          <w:rFonts w:ascii="Arial" w:hAnsi="Arial" w:cs="Arial"/>
          <w:color w:val="231F20"/>
          <w:lang w:val="de-DE"/>
        </w:rPr>
        <w:t>Call-</w:t>
      </w:r>
      <w:proofErr w:type="spellStart"/>
      <w:r w:rsidR="00F37D22" w:rsidRPr="00072AA7">
        <w:rPr>
          <w:rFonts w:ascii="Arial" w:hAnsi="Arial" w:cs="Arial"/>
          <w:color w:val="231F20"/>
          <w:lang w:val="de-DE"/>
        </w:rPr>
        <w:t>and</w:t>
      </w:r>
      <w:proofErr w:type="spellEnd"/>
      <w:r w:rsidR="00072AA7" w:rsidRPr="00072AA7">
        <w:rPr>
          <w:rFonts w:ascii="Arial" w:hAnsi="Arial" w:cs="Arial"/>
          <w:color w:val="231F20"/>
          <w:lang w:val="de-DE"/>
        </w:rPr>
        <w:t>-Response-</w:t>
      </w:r>
      <w:r w:rsidR="00F37D22" w:rsidRPr="00072AA7">
        <w:rPr>
          <w:rFonts w:ascii="Arial" w:hAnsi="Arial" w:cs="Arial"/>
          <w:color w:val="231F20"/>
          <w:lang w:val="de-DE"/>
        </w:rPr>
        <w:t>Schema ist typisch für afroamerikanische Musik.</w:t>
      </w:r>
    </w:p>
    <w:p w:rsidR="0054075F" w:rsidRPr="001D70D7" w:rsidRDefault="00F37D22" w:rsidP="001D70D7">
      <w:pPr>
        <w:pStyle w:val="StandardWeb"/>
        <w:rPr>
          <w:rFonts w:ascii="Arial" w:hAnsi="Arial" w:cs="Arial"/>
          <w:lang w:val="de-DE"/>
        </w:rPr>
      </w:pPr>
      <w:r>
        <w:rPr>
          <w:rFonts w:ascii="Arial" w:hAnsi="Arial" w:cs="Arial"/>
          <w:noProof/>
          <w:lang w:val="en-US" w:eastAsia="en-US"/>
        </w:rPr>
        <w:drawing>
          <wp:inline distT="0" distB="0" distL="0" distR="0" wp14:anchorId="2B3A4E6D" wp14:editId="76DF7D14">
            <wp:extent cx="3505200" cy="2459738"/>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10800000">
                      <a:off x="0" y="0"/>
                      <a:ext cx="3509843" cy="2462996"/>
                    </a:xfrm>
                    <a:prstGeom prst="rect">
                      <a:avLst/>
                    </a:prstGeom>
                    <a:noFill/>
                    <a:ln>
                      <a:noFill/>
                    </a:ln>
                  </pic:spPr>
                </pic:pic>
              </a:graphicData>
            </a:graphic>
          </wp:inline>
        </w:drawing>
      </w:r>
      <w:r w:rsidR="00E72707" w:rsidRPr="00E72707">
        <w:rPr>
          <w:rFonts w:ascii="Arial" w:hAnsi="Arial" w:cs="Arial"/>
          <w:lang w:val="de-DE"/>
        </w:rPr>
        <w:t xml:space="preserve"> </w:t>
      </w:r>
      <w:r w:rsidR="00E72707">
        <w:rPr>
          <w:rFonts w:ascii="Arial" w:hAnsi="Arial" w:cs="Arial"/>
          <w:noProof/>
          <w:lang w:val="en-US" w:eastAsia="en-US"/>
        </w:rPr>
        <w:drawing>
          <wp:inline distT="0" distB="0" distL="0" distR="0" wp14:anchorId="1C489D48" wp14:editId="28C69FCF">
            <wp:extent cx="2482001" cy="17716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83694" cy="1772858"/>
                    </a:xfrm>
                    <a:prstGeom prst="rect">
                      <a:avLst/>
                    </a:prstGeom>
                    <a:noFill/>
                    <a:ln>
                      <a:noFill/>
                    </a:ln>
                  </pic:spPr>
                </pic:pic>
              </a:graphicData>
            </a:graphic>
          </wp:inline>
        </w:drawing>
      </w:r>
      <w:bookmarkStart w:id="0" w:name="_GoBack"/>
      <w:bookmarkEnd w:id="0"/>
    </w:p>
    <w:sectPr w:rsidR="0054075F" w:rsidRPr="001D70D7" w:rsidSect="00E72707">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0705"/>
    <w:rsid w:val="00072AA7"/>
    <w:rsid w:val="001D70D7"/>
    <w:rsid w:val="00377503"/>
    <w:rsid w:val="0054075F"/>
    <w:rsid w:val="00687AF7"/>
    <w:rsid w:val="00D36EF9"/>
    <w:rsid w:val="00D469E5"/>
    <w:rsid w:val="00E40705"/>
    <w:rsid w:val="00E72707"/>
    <w:rsid w:val="00F37D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40705"/>
    <w:rPr>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E40705"/>
    <w:pPr>
      <w:spacing w:before="100" w:beforeAutospacing="1" w:after="100" w:afterAutospacing="1" w:line="240" w:lineRule="auto"/>
    </w:pPr>
    <w:rPr>
      <w:rFonts w:ascii="Times New Roman" w:eastAsia="Times New Roman" w:hAnsi="Times New Roman" w:cs="Times New Roman"/>
      <w:sz w:val="24"/>
      <w:szCs w:val="24"/>
      <w:lang w:eastAsia="de-CH"/>
    </w:rPr>
  </w:style>
  <w:style w:type="paragraph" w:styleId="Sprechblasentext">
    <w:name w:val="Balloon Text"/>
    <w:basedOn w:val="Standard"/>
    <w:link w:val="SprechblasentextZchn"/>
    <w:uiPriority w:val="99"/>
    <w:semiHidden/>
    <w:unhideWhenUsed/>
    <w:rsid w:val="00E407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40705"/>
    <w:rPr>
      <w:rFonts w:ascii="Tahoma" w:hAnsi="Tahoma" w:cs="Tahoma"/>
      <w:sz w:val="16"/>
      <w:szCs w:val="16"/>
      <w:lang w:val="de-CH"/>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40705"/>
    <w:rPr>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E40705"/>
    <w:pPr>
      <w:spacing w:before="100" w:beforeAutospacing="1" w:after="100" w:afterAutospacing="1" w:line="240" w:lineRule="auto"/>
    </w:pPr>
    <w:rPr>
      <w:rFonts w:ascii="Times New Roman" w:eastAsia="Times New Roman" w:hAnsi="Times New Roman" w:cs="Times New Roman"/>
      <w:sz w:val="24"/>
      <w:szCs w:val="24"/>
      <w:lang w:eastAsia="de-CH"/>
    </w:rPr>
  </w:style>
  <w:style w:type="paragraph" w:styleId="Sprechblasentext">
    <w:name w:val="Balloon Text"/>
    <w:basedOn w:val="Standard"/>
    <w:link w:val="SprechblasentextZchn"/>
    <w:uiPriority w:val="99"/>
    <w:semiHidden/>
    <w:unhideWhenUsed/>
    <w:rsid w:val="00E407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40705"/>
    <w:rPr>
      <w:rFonts w:ascii="Tahoma" w:hAnsi="Tahoma" w:cs="Tahoma"/>
      <w:sz w:val="16"/>
      <w:szCs w:val="16"/>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image" Target="media/image2.emf"/><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0.emf"/><Relationship Id="rId11" Type="http://schemas.openxmlformats.org/officeDocument/2006/relationships/theme" Target="theme/theme1.xml"/><Relationship Id="rId5" Type="http://schemas.openxmlformats.org/officeDocument/2006/relationships/image" Target="media/image1.emf"/><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243</Words>
  <Characters>1387</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SekundarschuleWetzikon</Company>
  <LinksUpToDate>false</LinksUpToDate>
  <CharactersWithSpaces>1627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Franks</dc:creator>
  <cp:lastModifiedBy>Martin Franks</cp:lastModifiedBy>
  <cp:revision>6</cp:revision>
  <dcterms:created xsi:type="dcterms:W3CDTF">2012-11-14T11:03:00Z</dcterms:created>
  <dcterms:modified xsi:type="dcterms:W3CDTF">2015-01-02T17:17:00Z</dcterms:modified>
</cp:coreProperties>
</file>